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2.png" ContentType="image/png"/>
  <Override PartName="/word/media/rId54.png" ContentType="image/png"/>
  <Override PartName="/word/media/rId83.png" ContentType="image/png"/>
  <Override PartName="/word/media/rId45.png" ContentType="image/png"/>
  <Override PartName="/word/media/rId57.png" ContentType="image/png"/>
  <Override PartName="/word/media/rId51.png" ContentType="image/png"/>
  <Override PartName="/word/media/rId86.png" ContentType="image/png"/>
  <Override PartName="/word/media/rId68.png" ContentType="image/png"/>
  <Override PartName="/word/media/rId89.png" ContentType="image/png"/>
  <Override PartName="/word/media/rId3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2024-03-08</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 multiple clades with distinct niches across tropical and sub-tropical oligotrophic ocean regions, including Oxygen Minimum Zones. Ocean warming may open permissive temperatures in new, poleward photic regimes, along with expanded Oxygen Minimum Zones. We used ocean protein data</w:t>
      </w:r>
      <w:r>
        <w:t xml:space="preserve"> </w:t>
      </w:r>
      <w:r>
        <w:t xml:space="preserve">[1]</w:t>
      </w:r>
      <w:r>
        <w:t xml:space="preserve"> </w:t>
      </w:r>
      <w:r>
        <w:t xml:space="preserve">to help guide testing of</w:t>
      </w:r>
      <w:r>
        <w:t xml:space="preserve"> </w:t>
      </w:r>
      <w:r>
        <w:rPr>
          <w:iCs/>
          <w:i/>
        </w:rPr>
        <w:t xml:space="preserve">Prochlorococcus marinus</w:t>
      </w:r>
      <w:r>
        <w:t xml:space="preserve"> </w:t>
      </w:r>
      <w:r>
        <w:t xml:space="preserve">growth across a matrix of peak irradiances, photoperiods, spectral bands and dissolved oxygen. MED4 from Clade HLI 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 above, and exploits high cumulative diel photon doses, yet shows accelerated growth when the cost of photoinactivation is lowered under red, vs. blue, actinic light. MED4 relies upon an alternative oxidase to balance electron transport, which may exclude it from growth under our 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 is restricted to low light under full 250 µmol O</w:t>
      </w:r>
      <w:r>
        <w:rPr>
          <w:vertAlign w:val="subscript"/>
        </w:rPr>
        <w:t xml:space="preserve">2</w:t>
      </w:r>
      <w:r>
        <w:t xml:space="preserve"> </w:t>
      </w:r>
      <w:r>
        <w:t xml:space="preserve">L</w:t>
      </w:r>
      <w:r>
        <w:rPr>
          <w:vertAlign w:val="superscript"/>
        </w:rPr>
        <w:t xml:space="preserve">-1</w:t>
      </w:r>
      <w:r>
        <w:t xml:space="preserve"> </w:t>
      </w:r>
      <w:r>
        <w:t xml:space="preserve">, shows expanded light exploitation under 25 µmol O</w:t>
      </w:r>
      <w:r>
        <w:rPr>
          <w:vertAlign w:val="subscript"/>
        </w:rPr>
        <w:t xml:space="preserve">2</w:t>
      </w:r>
      <w:r>
        <w:t xml:space="preserve"> </w:t>
      </w:r>
      <w:r>
        <w:t xml:space="preserve">L</w:t>
      </w:r>
      <w:r>
        <w:rPr>
          <w:vertAlign w:val="superscript"/>
        </w:rPr>
        <w:t xml:space="preserve">-1</w:t>
      </w:r>
      <w:r>
        <w:t xml:space="preserve">, but is excluded from growth under 2.5 µmol O</w:t>
      </w:r>
      <w:r>
        <w:rPr>
          <w:vertAlign w:val="subscript"/>
        </w:rPr>
        <w:t xml:space="preserve">2</w:t>
      </w:r>
      <w:r>
        <w:t xml:space="preserve"> </w:t>
      </w:r>
      <w:r>
        <w:t xml:space="preserve">L</w:t>
      </w:r>
      <w:r>
        <w:rPr>
          <w:vertAlign w:val="superscript"/>
        </w:rPr>
        <w:t xml:space="preserve">-1</w:t>
      </w:r>
      <w:r>
        <w:t xml:space="preserve">. Intermediate oxygen suppresses the cost of PSII photoinactivation, and enzymatic production of H</w:t>
      </w:r>
      <w:r>
        <w:rPr>
          <w:vertAlign w:val="subscript"/>
        </w:rPr>
        <w:t xml:space="preserve">2</w:t>
      </w:r>
      <w:r>
        <w:t xml:space="preserve">O</w:t>
      </w:r>
      <w:r>
        <w:rPr>
          <w:vertAlign w:val="subscript"/>
        </w:rPr>
        <w:t xml:space="preserve">2</w:t>
      </w:r>
      <w:r>
        <w:t xml:space="preserve"> </w:t>
      </w:r>
      <w:r>
        <w:t xml:space="preserve">in SS120, which has limited genomic capacity for PSII and DNA repair. MIT9313 from 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 lower O</w:t>
      </w:r>
      <w:r>
        <w:rPr>
          <w:vertAlign w:val="subscript"/>
        </w:rPr>
        <w:t xml:space="preserve">2</w:t>
      </w:r>
      <w:r>
        <w:t xml:space="preserve"> </w:t>
      </w:r>
      <w:r>
        <w:t xml:space="preserve">concentrations, conditions which slow photoinactivation of 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[2]</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[3]</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[2,3]</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[4]</w:t>
      </w:r>
      <w:r>
        <w:t xml:space="preserve">. The clades inhabit distinct ecological niches</w:t>
      </w:r>
      <w:r>
        <w:t xml:space="preserve"> </w:t>
      </w:r>
      <w:r>
        <w:t xml:space="preserve">[5]</w:t>
      </w:r>
      <w:r>
        <w:t xml:space="preserve">, originally defined as High-Light (HL) or Low-Light (LL). Only 5 out of 12 known</w:t>
      </w:r>
      <w:r>
        <w:t xml:space="preserve"> </w:t>
      </w:r>
      <w:r>
        <w:rPr>
          <w:iCs/>
          <w:i/>
        </w:rPr>
        <w:t xml:space="preserve">Prochlorococcus</w:t>
      </w:r>
      <w:r>
        <w:t xml:space="preserve"> </w:t>
      </w:r>
      <w:r>
        <w:t xml:space="preserve">genetic clades have cultured representatives to date; HLI, HLII, LLI, LLII/III and LIV</w:t>
      </w:r>
      <w:r>
        <w:t xml:space="preserve"> </w:t>
      </w:r>
      <w:r>
        <w:t xml:space="preserve">[6]</w:t>
      </w:r>
      <w:r>
        <w:t xml:space="preserve">. Current niches of</w:t>
      </w:r>
      <w:r>
        <w:t xml:space="preserve"> </w:t>
      </w:r>
      <w:r>
        <w:rPr>
          <w:iCs/>
          <w:i/>
        </w:rPr>
        <w:t xml:space="preserve">P. marinus</w:t>
      </w:r>
      <w:r>
        <w:t xml:space="preserve"> </w:t>
      </w:r>
      <w:r>
        <w:t xml:space="preserve">strains span ocean water columns</w:t>
      </w:r>
      <w:r>
        <w:t xml:space="preserve"> </w:t>
      </w:r>
      <w:r>
        <w:t xml:space="preserve">[3,7,8]</w:t>
      </w:r>
      <w:r>
        <w:t xml:space="preserve"> </w:t>
      </w:r>
      <w:r>
        <w:t xml:space="preserve">and extend into regions with low dissolved oxygen concentrations</w:t>
      </w:r>
      <w:r>
        <w:t xml:space="preserve"> </w:t>
      </w:r>
      <w:r>
        <w:t xml:space="preserve">[9–13]</w:t>
      </w:r>
      <w:r>
        <w:t xml:space="preserve">.</w:t>
      </w:r>
    </w:p>
    <w:p>
      <w:pPr>
        <w:pStyle w:val="BodyText"/>
      </w:pPr>
      <w:r>
        <w:t xml:space="preserve">Low-Light clades thrive in deeper ocean waters, extending beyond 200 m in depth</w:t>
      </w:r>
      <w:r>
        <w:t xml:space="preserve"> </w:t>
      </w:r>
      <w:r>
        <w:t xml:space="preserve">[3]</w:t>
      </w:r>
      <w:r>
        <w:t xml:space="preserve">, where only ~1% of the surface irradiance penetrates, primarily in the blue (450 nm) to green (520 nm) spectral range</w:t>
      </w:r>
      <w:r>
        <w:t xml:space="preserve"> </w:t>
      </w:r>
      <w:r>
        <w:t xml:space="preserve">[14]</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[3]</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[10–13,15]</w:t>
      </w:r>
      <w:r>
        <w:t xml:space="preserve">.</w:t>
      </w:r>
      <w:r>
        <w:t xml:space="preserve"> </w:t>
      </w:r>
      <w:r>
        <w:rPr>
          <w:iCs/>
          <w:i/>
        </w:rPr>
        <w:t xml:space="preserve">Prochlorococcus marinus</w:t>
      </w:r>
      <w:r>
        <w:t xml:space="preserve"> </w:t>
      </w:r>
      <w:r>
        <w:t xml:space="preserve">LL ecotypes may indeed dominate the phytoplankton within OMZ</w:t>
      </w:r>
      <w:r>
        <w:t xml:space="preserve"> </w:t>
      </w:r>
      <w:r>
        <w:t xml:space="preserve">[9,11,12]</w:t>
      </w:r>
      <w:r>
        <w:t xml:space="preserve">, where they may be net O</w:t>
      </w:r>
      <w:r>
        <w:rPr>
          <w:vertAlign w:val="subscript"/>
        </w:rPr>
        <w:t xml:space="preserve">2</w:t>
      </w:r>
      <w:r>
        <w:t xml:space="preserve"> </w:t>
      </w:r>
      <w:r>
        <w:t xml:space="preserve">consumers</w:t>
      </w:r>
      <w:r>
        <w:t xml:space="preserve"> </w:t>
      </w:r>
      <w:r>
        <w:t xml:space="preserve">[16]</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and subdivided into clades based on iron adaptation</w:t>
      </w:r>
      <w:r>
        <w:t xml:space="preserve"> </w:t>
      </w:r>
      <w:r>
        <w:t xml:space="preserve">[17–19]</w:t>
      </w:r>
      <w:r>
        <w:t xml:space="preserve">. Clade HLI, represented by cultured strain MED4, is adapted to high iron, and low temperatures, and originated from 5 m depth in the Mediterranean Sea</w:t>
      </w:r>
      <w:r>
        <w:t xml:space="preserve"> </w:t>
      </w:r>
      <w:r>
        <w:t xml:space="preserve">[3]</w:t>
      </w:r>
      <w:r>
        <w:t xml:space="preserve">. Clade HLII, adapted to high iron, and high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[3]</w:t>
      </w:r>
      <w:r>
        <w:t xml:space="preserve">, and are most numerous around 50 m depth</w:t>
      </w:r>
      <w:r>
        <w:t xml:space="preserve"> </w:t>
      </w:r>
      <w:r>
        <w:t xml:space="preserve">[3]</w:t>
      </w:r>
      <w:r>
        <w:t xml:space="preserve">. Clade HLIII/IV is adapted to low iron</w:t>
      </w:r>
      <w:r>
        <w:t xml:space="preserve"> </w:t>
      </w:r>
      <w:r>
        <w:t xml:space="preserve">[17–19]</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[18,20,21]</w:t>
      </w:r>
      <w:r>
        <w:t xml:space="preserve">, while LL clades can occupy regions in OMZ at depths shallower than 40 m</w:t>
      </w:r>
      <w:r>
        <w:t xml:space="preserve"> </w:t>
      </w:r>
      <w:r>
        <w:t xml:space="preserve">[11]</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w:t>
      </w:r>
      <w:r>
        <w:t xml:space="preserve"> </w:t>
      </w:r>
      <w:r>
        <w:t xml:space="preserve">[22]</w:t>
      </w:r>
      <w:r>
        <w:t xml:space="preserve">, along with poleward latitudinal shifts of at least 10° in marine phytoplankton niches by the end of this century</w:t>
      </w:r>
      <w:r>
        <w:t xml:space="preserve"> </w:t>
      </w:r>
      <w:r>
        <w:t xml:space="preserve">[23]</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[22,23]</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[24,25]</w:t>
      </w:r>
      <w:r>
        <w:t xml:space="preserve">. For example, Vaulot</w:t>
      </w:r>
      <w:r>
        <w:t xml:space="preserve"> </w:t>
      </w:r>
      <w:r>
        <w:rPr>
          <w:iCs/>
          <w:i/>
        </w:rPr>
        <w:t xml:space="preserve">et al</w:t>
      </w:r>
      <w:r>
        <w:t xml:space="preserve">.</w:t>
      </w:r>
      <w:r>
        <w:t xml:space="preserve"> </w:t>
      </w:r>
      <w:r>
        <w:t xml:space="preserve">[26]</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[27]</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[28]</w:t>
      </w:r>
      <w:r>
        <w:t xml:space="preserve">. Increasing sea temperatures are also causing decreases in [O</w:t>
      </w:r>
      <w:r>
        <w:rPr>
          <w:vertAlign w:val="subscript"/>
        </w:rPr>
        <w:t xml:space="preserve">2</w:t>
      </w:r>
      <w:r>
        <w:t xml:space="preserve">] across global oceans</w:t>
      </w:r>
      <w:r>
        <w:t xml:space="preserve"> </w:t>
      </w:r>
      <w:r>
        <w:t xml:space="preserve">[29]</w:t>
      </w:r>
      <w:r>
        <w:t xml:space="preserve">, particularly toward the poles</w:t>
      </w:r>
      <w:r>
        <w:t xml:space="preserve"> </w:t>
      </w:r>
      <w:r>
        <w:t xml:space="preserve">[30]</w:t>
      </w:r>
      <w:r>
        <w:t xml:space="preserve">. Warmer ocean waters decrease oxygen solubility at the surface, and increase stratification, which in turn decreases oxygen mixing downwards by ocean currents</w:t>
      </w:r>
      <w:r>
        <w:t xml:space="preserve"> </w:t>
      </w:r>
      <w:r>
        <w:t xml:space="preserve">[27]</w:t>
      </w:r>
      <w:r>
        <w:t xml:space="preserve">. Models predict that OMZ in the Pacific and Indian Oceans are expanding</w:t>
      </w:r>
      <w:r>
        <w:t xml:space="preserve"> </w:t>
      </w:r>
      <w:r>
        <w:t xml:space="preserve">[27,31]</w:t>
      </w:r>
      <w:r>
        <w:t xml:space="preserve">, although the cores of the OMZ, where the oxygen levels are lowest, may actually contract</w:t>
      </w:r>
      <w:r>
        <w:t xml:space="preserve"> </w:t>
      </w:r>
      <w:r>
        <w:t xml:space="preserve">[31]</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[32]</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w:t>
      </w:r>
      <w:r>
        <w:t xml:space="preserve"> </w:t>
      </w:r>
      <w:r>
        <w:t xml:space="preserve">[33]</w:t>
      </w:r>
      <w:r>
        <w:t xml:space="preserve">.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[34]</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[35]</w:t>
      </w:r>
      <w:r>
        <w:t xml:space="preserve">. Photosynthetically Usable Radiation (PUR) represents the fraction of PAR that is absorbed by the pigments of a given photosynthetic organism</w:t>
      </w:r>
      <w:r>
        <w:t xml:space="preserve"> </w:t>
      </w:r>
      <w:r>
        <w:t xml:space="preserve">[35]</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[36]</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[35]</w:t>
      </w:r>
      <w:r>
        <w:t xml:space="preserve"> </w:t>
      </w:r>
      <w:r>
        <w:t xml:space="preserve">corresponding to blue spectral wavelengths prevailing in deep ocean habitats</w:t>
      </w:r>
      <w:r>
        <w:t xml:space="preserve"> </w:t>
      </w:r>
      <w:r>
        <w:t xml:space="preserve">[14]</w:t>
      </w:r>
      <w:r>
        <w:t xml:space="preserve">. In</w:t>
      </w:r>
      <w:r>
        <w:t xml:space="preserve"> </w:t>
      </w:r>
      <w:r>
        <w:rPr>
          <w:iCs/>
          <w:i/>
        </w:rPr>
        <w:t xml:space="preserve">P. marinus</w:t>
      </w:r>
      <w:r>
        <w:t xml:space="preserve"> </w:t>
      </w:r>
      <w:r>
        <w:t xml:space="preserve">small cell diameters, from 0.5 to 0.7 µm</w:t>
      </w:r>
      <w:r>
        <w:t xml:space="preserve"> </w:t>
      </w:r>
      <w:r>
        <w:t xml:space="preserve">[2]</w:t>
      </w:r>
      <w:r>
        <w:t xml:space="preserve">, and simple cell structures, minimize the complication of pigment package effect or intracellular self-shading</w:t>
      </w:r>
      <w:r>
        <w:t xml:space="preserve"> </w:t>
      </w:r>
      <w:r>
        <w:t xml:space="preserve">[37]</w:t>
      </w:r>
      <w:r>
        <w:t xml:space="preserve"> </w:t>
      </w:r>
      <w:r>
        <w:t xml:space="preserve">contributing to efficient optical absorption, although photosynthetic efficiency may vary among clades</w:t>
      </w:r>
      <w:r>
        <w:t xml:space="preserve"> </w:t>
      </w:r>
      <w:r>
        <w:t xml:space="preserve">[33,38]</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[39]</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[32]</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7 locations in the tropical North Pacific ocean along 150 W from 18 N of the equator between October 1, 2011 and October 25, 2011 during the voyage of the R/V Kilo Moana MetZyme cruise</w:t>
      </w:r>
      <w:r>
        <w:t xml:space="preserve"> </w:t>
      </w:r>
      <w:r>
        <w:t xml:space="preserve">[40]</w:t>
      </w:r>
      <w:r>
        <w:t xml:space="preserve">; original datasets in the Biological and Chemical Oceanography Data Management Office (BCO-DMO) repository</w:t>
      </w:r>
      <w:r>
        <w:t xml:space="preserve"> </w:t>
      </w:r>
      <w:r>
        <w:t xml:space="preserve">[1]</w:t>
      </w:r>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w:t>
      </w:r>
      <w:r>
        <w:t xml:space="preserve"> </w:t>
      </w:r>
      <w:r>
        <w:t xml:space="preserve">[1]</w:t>
      </w:r>
      <w:r>
        <w:t xml:space="preserve"> </w:t>
      </w:r>
      <w:r>
        <w:t xml:space="preserve">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 Detected peptides were re-annotated for consistency and labelled, where feasible, according to strain, clade, subunit and protein complex. Full protein sequences corresponding to detected proteins were obtained from UniProt (</w:t>
      </w:r>
      <w:hyperlink r:id="rId26">
        <w:r>
          <w:rPr>
            <w:rStyle w:val="Hyperlink"/>
          </w:rPr>
          <w:t xml:space="preserve">https://www.uniprot.org/</w:t>
        </w:r>
      </w:hyperlink>
      <w:r>
        <w:t xml:space="preserve">) and analyzed in Molecular Evolution and Genetic Analyses X (MEGAX) software (</w:t>
      </w:r>
      <w:hyperlink r:id="rId27">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XXX Aurora CITATION XXX.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[46,47]</w:t>
      </w:r>
      <w:r>
        <w:t xml:space="preserve">. MED4, SS120 and MIT9313 have been successfully cultured in laboratories</w:t>
      </w:r>
      <w:r>
        <w:t xml:space="preserve"> </w:t>
      </w:r>
      <w:r>
        <w:t xml:space="preserve">[48,49]</w:t>
      </w:r>
      <w:r>
        <w:t xml:space="preserve">, and used to show that ecotypic classifications correspond to biochemical differences among strains</w:t>
      </w:r>
      <w:r>
        <w:t xml:space="preserve"> </w:t>
      </w:r>
      <w:r>
        <w:t xml:space="preserve">[45]</w:t>
      </w:r>
      <w:r>
        <w:t xml:space="preserve">. 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(LLII/III) clade; and MIT9313 (CCMP2773) is from Low-Light adapted (LLIV) clade. Cultures were maintained in incubators set to 22°C with an on/off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[49]</w:t>
      </w:r>
      <w:r>
        <w:t xml:space="preserve"> </w:t>
      </w:r>
      <w:r>
        <w:t xml:space="preserve">prepared with autoclaved artificial seawater</w:t>
      </w:r>
      <w:r>
        <w:t xml:space="preserve"> </w:t>
      </w:r>
      <w:r>
        <w:t xml:space="preserve">[50]</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(red light), and 450 nm (blue light))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[43]</w:t>
      </w:r>
      <w:r>
        <w:t xml:space="preserve">, growth rate calculations, comparisons of model fits</w:t>
      </w:r>
      <w:r>
        <w:t xml:space="preserve"> </w:t>
      </w:r>
      <w:r>
        <w:t xml:space="preserve">[51]</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[52]</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[53]</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[54]</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 marinus</w:t>
      </w:r>
      <w:r>
        <w:t xml:space="preserve"> </w:t>
      </w:r>
      <w:r>
        <w:t xml:space="preserve">strain in this study. The R package</w:t>
      </w:r>
      <w:r>
        <w:t xml:space="preserve"> </w:t>
      </w:r>
      <w:r>
        <w:rPr>
          <w:rStyle w:val="VerbatimChar"/>
          <w:iCs/>
          <w:i/>
        </w:rPr>
        <w:t xml:space="preserve">mgcv</w:t>
      </w:r>
      <w:r>
        <w:t xml:space="preserve"> </w:t>
      </w:r>
      <w:r>
        <w:t xml:space="preserve">[56]</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[58]</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[35]</w:t>
      </w:r>
      <w:r>
        <w:t xml:space="preserve"> </w:t>
      </w:r>
      <w:r>
        <w:t xml:space="preserve">was used to determine the weighted PUR spectrum P(λ); where A(λ) is the blank subtracted, Chl</w:t>
      </w:r>
      <w:r>
        <w:t xml:space="preserve"> </w:t>
      </w:r>
      <w:r>
        <w:rPr>
          <w:iCs/>
          <w:i/>
        </w:rPr>
        <w:t xml:space="preserve">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[35]</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(A,B,C), SS120 (D,E,F) and MIT9313 (G,H,I).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 Harrison and Platt</w:t>
      </w:r>
      <w:r>
        <w:t xml:space="preserve"> </w:t>
      </w:r>
      <w:r>
        <w:t xml:space="preserve">[51]</w:t>
      </w:r>
      <w:r>
        <w:t xml:space="preserve"> </w:t>
      </w:r>
      <w:r>
        <w:t xml:space="preserve">4 parameter model fit to 660 nm (red light) and 450 nm (blue light) growth data for each combination of strain and [O</w:t>
      </w:r>
      <w:r>
        <w:rPr>
          <w:vertAlign w:val="subscript"/>
        </w:rPr>
        <w:t xml:space="preserve">2</w:t>
      </w:r>
      <w:r>
        <w:t xml:space="preserve">]. We also performed one-way ANOVA to examine statistical differences between Harrison and Platt</w:t>
      </w:r>
      <w:r>
        <w:t xml:space="preserve"> </w:t>
      </w:r>
      <w:r>
        <w:t xml:space="preserve">[51]</w:t>
      </w:r>
      <w:r>
        <w:t xml:space="preserve"> </w:t>
      </w:r>
      <w:r>
        <w:t xml:space="preserve">4 parameter model fit to each photoperiod (4 h, 8 h, 12 h, 16 h) and pooled photoperiod growth data for each combination of strain and [O</w:t>
      </w:r>
      <w:r>
        <w:rPr>
          <w:vertAlign w:val="subscript"/>
        </w:rPr>
        <w:t xml:space="preserve">2</w:t>
      </w:r>
      <w:r>
        <w:t xml:space="preserve">]. Photoperiod growth data that showed complete growth inhibition for each combination of strain, [O</w:t>
      </w:r>
      <w:r>
        <w:rPr>
          <w:vertAlign w:val="subscript"/>
        </w:rPr>
        <w:t xml:space="preserve">2</w:t>
      </w:r>
      <w:r>
        <w:t xml:space="preserve">] and imposed spectral waveband were omitted from the pooled photoperiod model. Statistical differences were determined at p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lt;!i&gt;Prochlorococcus marinus &lt;/!i&gt;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 &lt;!i&gt;Prochlorococcus marinus &lt;/!i&gt; MED4.</w:t>
      </w:r>
      <w:r>
        <w:t xml:space="preserve"> </w:t>
      </w:r>
      <w:r>
        <w:rPr>
          <w:bCs/>
          <w:b/>
        </w:rPr>
        <w:t xml:space="preserve">B.</w:t>
      </w:r>
      <w:r>
        <w:t xml:space="preserve"> </w:t>
      </w:r>
      <w:r>
        <w:t xml:space="preserve">is Prochlorococcus marinus SS120.</w:t>
      </w:r>
      <w:r>
        <w:t xml:space="preserve"> </w:t>
      </w:r>
      <w:r>
        <w:rPr>
          <w:bCs/>
          <w:b/>
        </w:rPr>
        <w:t xml:space="preserve">C.</w:t>
      </w:r>
      <w:r>
        <w:t xml:space="preserve"> </w:t>
      </w:r>
      <w:r>
        <w:t xml:space="preserve">is Prochlorococcus marinus 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 numbers), or Kegg Orthology Numbers (KO numbers) identified by BRENDA</w:t>
      </w:r>
      <w:r>
        <w:t xml:space="preserve"> </w:t>
      </w:r>
      <w:r>
        <w:t xml:space="preserve">[39]</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 numbers identified by BRENDA as being activated, or inhibited by light; 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 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Gene counts for Flavodiirons were obtained from Allahverdiyeva</w:t>
      </w:r>
      <w:r>
        <w:t xml:space="preserve"> </w:t>
      </w:r>
      <w:r>
        <w:rPr>
          <w:iCs/>
          <w:i/>
        </w:rPr>
        <w:t xml:space="preserve">et al</w:t>
      </w:r>
      <w:r>
        <w:t xml:space="preserve">.</w:t>
      </w:r>
      <w:r>
        <w:t xml:space="preserve"> </w:t>
      </w:r>
      <w:r>
        <w:t xml:space="preserve">[61]</w:t>
      </w:r>
      <w:r>
        <w:t xml:space="preserve">, as they do not have allocated EC numbers. A full list of enzymes and corresponding 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LLII/III (ex. SS120) and clade LLIV (ex. MIT9313) were detected throughout the water column in high [O</w:t>
      </w:r>
      <w:r>
        <w:rPr>
          <w:vertAlign w:val="subscript"/>
        </w:rPr>
        <w:t xml:space="preserve">2</w:t>
      </w:r>
      <w:r>
        <w:t xml:space="preserve">] and at depth in low [O</w:t>
      </w:r>
      <w:r>
        <w:rPr>
          <w:vertAlign w:val="subscript"/>
        </w:rPr>
        <w:t xml:space="preserve">2</w:t>
      </w:r>
      <w:r>
        <w:t xml:space="preserve">] samples. The exclusive assignment of ATP Synthase peptides to clade LLIV (ex. MIT9313) may result from the high conservation of protein sequence for this complex.</w:t>
      </w:r>
    </w:p>
    <w:p>
      <w:pPr>
        <w:pStyle w:val="BodyText"/>
      </w:pPr>
      <w:r>
        <w:t xml:space="preserve">XXX More Text XXX from Amanda &amp; Aurora 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 axis) and depth (m) (Y 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imposed [O2] (µM). Data obtained from the Biological and Chemical Oceanography Data Management Office repository [1]."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[57]</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[48]</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PICO_Hypervolume_GAM_MED4_Oxy_.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PICO_Hypervolume_GAM_SS120_Oxy_.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[33]</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PICO_Hypervolume_GAM_MIT9313_Oxy_.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usable photosynthetically active light per day. Cumulative diel PUR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spectral wavebands, and photoperiods,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5 times that of the red light (Figure</w:t>
      </w:r>
      <w:r>
        <w:t xml:space="preserve"> </w:t>
      </w:r>
      <w:r>
        <w:t xml:space="preserve">1</w:t>
      </w:r>
      <w:r>
        <w:t xml:space="preserve">), despite being derived from the same photoperiods and peak PAR regimes. As such, only blue light experiments extend beyond a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spectral bias in the range of PUR leads us to caution in comparing model fits of growth in response to cumulative diel PUR under red vs. blue wavebands. Furthermore, we found some distinct model fits for specific photoperiods, contributing to scatter within the red vs. blue data sets.</w:t>
      </w:r>
    </w:p>
    <w:p>
      <w:pPr>
        <w:pStyle w:val="BodyText"/>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16</w:t>
      </w:r>
      <w:r>
        <w:t xml:space="preserve">A,B,C).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including photoperiods greater than 4 h, MED4 growth under blue light was described by a saturating response of growth</w:t>
      </w:r>
      <w:r>
        <w:t xml:space="preserve"> </w:t>
      </w:r>
      <w:r>
        <w:t xml:space="preserve">[51]</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 SS120 also did not grow under 250 µM O</w:t>
      </w:r>
      <w:r>
        <w:rPr>
          <w:vertAlign w:val="subscript"/>
        </w:rPr>
        <w:t xml:space="preserve">2</w:t>
      </w:r>
      <w:r>
        <w:t xml:space="preserve"> </w:t>
      </w:r>
      <w:r>
        <w:t xml:space="preserve">, even when a 4 h photoperiod delivered cumulative diel PUR equivalent to other photoperiod treatments (Figure</w:t>
      </w:r>
      <w:r>
        <w:t xml:space="preserve"> </w:t>
      </w:r>
      <w:r>
        <w:t xml:space="preserve">16</w:t>
      </w:r>
      <w:r>
        <w:t xml:space="preserve">D). Again using</w:t>
      </w:r>
      <w:r>
        <w:t xml:space="preserve"> </w:t>
      </w:r>
      <w:r>
        <w:t xml:space="preserve">[51]</w:t>
      </w:r>
      <w:r>
        <w:t xml:space="preserve">,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consistent with lower cost of growth through lower photoinactivation under red light (Figure</w:t>
      </w:r>
      <w:r>
        <w:t xml:space="preserve"> </w:t>
      </w:r>
      <w:r>
        <w:t xml:space="preserve">9</w:t>
      </w:r>
      <w:r>
        <w:t xml:space="preserve">E)</w:t>
      </w:r>
      <w:r>
        <w:t xml:space="preserve"> </w:t>
      </w:r>
      <w:r>
        <w:t xml:space="preserve">[57]</w:t>
      </w:r>
      <w:r>
        <w:t xml:space="preserve">. For distinct fits for 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(Figure</w:t>
      </w:r>
      <w:r>
        <w:t xml:space="preserve"> </w:t>
      </w:r>
      <w:r>
        <w:t xml:space="preserve">16</w:t>
      </w:r>
      <w:r>
        <w:t xml:space="preserve">G). Under 25 µM O</w:t>
      </w:r>
      <w:r>
        <w:rPr>
          <w:vertAlign w:val="subscript"/>
        </w:rPr>
        <w:t xml:space="preserve">2</w:t>
      </w:r>
      <w:r>
        <w:t xml:space="preserve"> </w:t>
      </w:r>
      <w:r>
        <w:t xml:space="preserve">MIT9313 showed higher growth rates over a wider plateau, with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[57]</w:t>
      </w:r>
      <w:r>
        <w:t xml:space="preserve"> </w:t>
      </w:r>
      <w:r>
        <w:t xml:space="preserve">who found a lower cost of growth, due to decreased photoinactivation of PSII under red, compared to blue, wavebands (Figure</w:t>
      </w:r>
      <w:r>
        <w:t xml:space="preserve"> </w:t>
      </w:r>
      <w:r>
        <w:t xml:space="preserve">9</w:t>
      </w:r>
      <w:r>
        <w:t xml:space="preserve">G,H).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(Figure</w:t>
      </w:r>
      <w:r>
        <w:t xml:space="preserve"> </w:t>
      </w:r>
      <w:r>
        <w:t xml:space="preserve">9</w:t>
      </w:r>
      <w:r>
        <w:t xml:space="preserve">I). For distinct fits for 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[62]</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 relies on the removal of damaged PsbA</w:t>
      </w:r>
      <w:r>
        <w:t xml:space="preserve"> </w:t>
      </w:r>
      <w:r>
        <w:t xml:space="preserve">[65,66]</w:t>
      </w:r>
      <w:r>
        <w:t xml:space="preserve">, followed by reassembly with newly synthesized PsbA</w:t>
      </w:r>
      <w:r>
        <w:t xml:space="preserve"> </w:t>
      </w:r>
      <w:r>
        <w:t xml:space="preserve">[67]</w:t>
      </w:r>
      <w:r>
        <w:t xml:space="preserve">. Degradation of PsbA is a rate-limiting step in recovery from photoinhibition</w:t>
      </w:r>
      <w:r>
        <w:t xml:space="preserve"> </w:t>
      </w:r>
      <w:r>
        <w:t xml:space="preserve">[68]</w:t>
      </w:r>
      <w:r>
        <w:t xml:space="preserve">, mediated largely by a heterohexamer of (FtsH1-FtsH2)</w:t>
      </w:r>
      <w:r>
        <w:rPr>
          <w:vertAlign w:val="subscript"/>
        </w:rPr>
        <w:t xml:space="preserve">3</w:t>
      </w:r>
      <w:r>
        <w:t xml:space="preserve">, a membrane-bound</w:t>
      </w:r>
      <w:r>
        <w:t xml:space="preserve"> </w:t>
      </w:r>
      <w:r>
        <w:t xml:space="preserve">[69,70]</w:t>
      </w:r>
      <w:r>
        <w:t xml:space="preserve"> </w:t>
      </w:r>
      <w:r>
        <w:t xml:space="preserve">metalloprotease</w:t>
      </w:r>
      <w:r>
        <w:t xml:space="preserve"> </w:t>
      </w:r>
      <w:r>
        <w:t xml:space="preserve">[(Chiba et al., 2002) (Yoshioka-Nishimura and Yamamoto, 2014), 71,72]</w:t>
      </w:r>
      <w:r>
        <w:t xml:space="preserve">, XXX (AMANDA REF from ALGATECH) XXX.</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rPr>
          <w:iCs/>
          <w:i/>
        </w:rPr>
        <w:t xml:space="preserve">slr</w:t>
      </w:r>
      <w:r>
        <w:t xml:space="preserve">1463, possibly involved in PSI biogenesis, and FtsH expression did not increase in response to light stress in MIT9313</w:t>
      </w:r>
      <w:r>
        <w:t xml:space="preserve"> </w:t>
      </w:r>
      <w:r>
        <w:t xml:space="preserve">[45]</w:t>
      </w:r>
      <w:r>
        <w:t xml:space="preserve">.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48"/>
        <w:gridCol w:w="1183"/>
        <w:gridCol w:w="1183"/>
        <w:gridCol w:w="1547"/>
        <w:gridCol w:w="1456"/>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 NATL2A, clade LLII/III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nnotated as solid grey circles) are plotted vs. O2 (µM) (X axis) and depth (m) (Y axis) at sample origin. Rows separate data annotated as from Prochlorococcus clades: HLI (P. marinus MED4 protein detection annotated as solid black circles), LLI (P. marinus NATL2A protein detection annotated as solid black circles), LLII/III (P. marinus SS120 protein detection annotated as solid black circles) and LLIV (P. marinus MIT9313 protein detection annotated as solid black circles).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the Biological and Chemical Oceanography Data Management Office repository [1]."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(annotated as solid grey circles)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protein detection annotated as solid black circles), LLI (</w:t>
      </w:r>
      <w:r>
        <w:rPr>
          <w:iCs/>
          <w:i/>
        </w:rPr>
        <w:t xml:space="preserve">P. marinus</w:t>
      </w:r>
      <w:r>
        <w:t xml:space="preserve"> </w:t>
      </w:r>
      <w:r>
        <w:t xml:space="preserve">NATL2A protein detection annotated as solid black circles), LLII/III (</w:t>
      </w:r>
      <w:r>
        <w:rPr>
          <w:iCs/>
          <w:i/>
        </w:rPr>
        <w:t xml:space="preserve">P. marinus</w:t>
      </w:r>
      <w:r>
        <w:t xml:space="preserve"> </w:t>
      </w:r>
      <w:r>
        <w:t xml:space="preserve">SS120 protein detection annotated as solid black circles) and LLIV (</w:t>
      </w:r>
      <w:r>
        <w:rPr>
          <w:iCs/>
          <w:i/>
        </w:rPr>
        <w:t xml:space="preserve">P. marinus</w:t>
      </w:r>
      <w:r>
        <w:t xml:space="preserve"> </w:t>
      </w:r>
      <w:r>
        <w:t xml:space="preserve">MIT9313 protein detection annotated as solid black circles).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[59]</w:t>
      </w:r>
      <w:r>
        <w:t xml:space="preserve"> </w:t>
      </w:r>
      <w:r>
        <w:t xml:space="preserve">for</w:t>
      </w:r>
      <w:r>
        <w:t xml:space="preserve"> </w:t>
      </w:r>
      <w:r>
        <w:rPr>
          <w:iCs/>
          <w:i/>
        </w:rPr>
        <w:t xml:space="preserve">P. marinus</w:t>
      </w:r>
      <w:r>
        <w:t xml:space="preserve"> </w:t>
      </w:r>
      <w:r>
        <w:t xml:space="preserve">strains from clades HLI, LLI, LLII/III and LLIV.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[73]</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[74]</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[75]</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[76]</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[77]</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[78]</w:t>
      </w:r>
      <w:r>
        <w:t xml:space="preserve">. Malmstrom</w:t>
      </w:r>
      <w:r>
        <w:t xml:space="preserve"> </w:t>
      </w:r>
      <w:r>
        <w:rPr>
          <w:iCs/>
          <w:i/>
        </w:rPr>
        <w:t xml:space="preserve">et al</w:t>
      </w:r>
      <w:r>
        <w:t xml:space="preserve">.</w:t>
      </w:r>
      <w:r>
        <w:t xml:space="preserve"> </w:t>
      </w:r>
      <w:r>
        <w:t xml:space="preserve">[78]</w:t>
      </w:r>
      <w:r>
        <w:t xml:space="preserve"> </w:t>
      </w:r>
      <w:r>
        <w:t xml:space="preserve">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[79]</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[6]</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[20]</w:t>
      </w:r>
      <w:r>
        <w:t xml:space="preserve"> </w:t>
      </w:r>
      <w:r>
        <w:t xml:space="preserve">and Malmstrom</w:t>
      </w:r>
      <w:r>
        <w:t xml:space="preserve"> </w:t>
      </w:r>
      <w:r>
        <w:rPr>
          <w:iCs/>
          <w:i/>
        </w:rPr>
        <w:t xml:space="preserve">et al</w:t>
      </w:r>
      <w:r>
        <w:t xml:space="preserve">.</w:t>
      </w:r>
      <w:r>
        <w:t xml:space="preserve"> </w:t>
      </w:r>
      <w:r>
        <w:t xml:space="preserve">[78]</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[78]</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[20]</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 surface; clade LLII/III found deep in the water column; and clade LLIV also found in deep oceans, including OMZ, under a matrix of spectral wavebands, irradiances, photoperiods and oxygen concentrations approximating present day and hypothetical future niches.</w:t>
      </w:r>
    </w:p>
    <w:p>
      <w:pPr>
        <w:pStyle w:val="BodyText"/>
      </w:pPr>
      <w:r>
        <w:rPr>
          <w:iCs/>
          <w:i/>
        </w:rPr>
        <w:t xml:space="preserve">Prochlorococcus marinus</w:t>
      </w:r>
      <w:r>
        <w:t xml:space="preserve"> </w:t>
      </w:r>
      <w:r>
        <w:t xml:space="preserve">MED4 requires more than 4 h of light per day; thus this strain will not exploit habitats typical of temperate winter or light attenuated depths, even if water temperatures warm into the clade HLI tolerance range. MED4 is also excluded from the lowest oxygen habitats of 2.5 µM O</w:t>
      </w:r>
      <w:r>
        <w:rPr>
          <w:vertAlign w:val="subscript"/>
        </w:rPr>
        <w:t xml:space="preserve">2</w:t>
      </w:r>
      <w:r>
        <w:t xml:space="preserve">, but can, grow under OMZ regions with 25 µM O</w:t>
      </w:r>
      <w:r>
        <w:rPr>
          <w:vertAlign w:val="subscript"/>
        </w:rPr>
        <w:t xml:space="preserve">2</w:t>
      </w:r>
      <w:r>
        <w:t xml:space="preserve">. Genomic (Figure</w:t>
      </w:r>
      <w:r>
        <w:t xml:space="preserve"> </w:t>
      </w:r>
      <w:r>
        <w:t xml:space="preserve">11</w:t>
      </w:r>
      <w:r>
        <w:t xml:space="preserve">) and transcriptional analyses</w:t>
      </w:r>
      <w:r>
        <w:t xml:space="preserve"> </w:t>
      </w:r>
      <w:r>
        <w:t xml:space="preserve">[73]</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with a K</w:t>
      </w:r>
      <w:r>
        <w:rPr>
          <w:vertAlign w:val="subscript"/>
        </w:rPr>
        <w:t xml:space="preserve">M</w:t>
      </w:r>
      <w:r>
        <w:t xml:space="preserve"> </w:t>
      </w:r>
      <w:r>
        <w:t xml:space="preserve">for [O</w:t>
      </w:r>
      <w:r>
        <w:rPr>
          <w:vertAlign w:val="subscript"/>
        </w:rPr>
        <w:t xml:space="preserve">2</w:t>
      </w:r>
      <w:r>
        <w:t xml:space="preserve">] of ~25 µM O</w:t>
      </w:r>
      <w:r>
        <w:rPr>
          <w:vertAlign w:val="subscript"/>
        </w:rPr>
        <w:t xml:space="preserve">2</w:t>
      </w:r>
      <w:r>
        <w:t xml:space="preserve">. On the other hand, MED4 shows inducible expression of FtsH isoforms</w:t>
      </w:r>
      <w:r>
        <w:t xml:space="preserve"> </w:t>
      </w:r>
      <w:r>
        <w:t xml:space="preserve">[45]</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photoinactivation of PSII</w:t>
      </w:r>
      <w:r>
        <w:t xml:space="preserve"> </w:t>
      </w:r>
      <w:r>
        <w:t xml:space="preserve">[57]</w:t>
      </w:r>
      <w:r>
        <w:t xml:space="preserve">, allows MED4 to achieve faster growth per absorbed photon than growth under blue light. TARA Oceans Project data</w:t>
      </w:r>
      <w:r>
        <w:t xml:space="preserve"> </w:t>
      </w:r>
      <w:r>
        <w:t xml:space="preserve">[21]</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[21]</w:t>
      </w:r>
      <w:r>
        <w:t xml:space="preserve"> </w:t>
      </w:r>
      <w:r>
        <w:t xml:space="preserve">did not analyze data from depths beyond the subsurface chlorophyll maximum layer, nor did they report[O</w:t>
      </w:r>
      <w:r>
        <w:rPr>
          <w:vertAlign w:val="subscript"/>
        </w:rPr>
        <w:t xml:space="preserve">2</w:t>
      </w:r>
      <w:r>
        <w:t xml:space="preserve">] at depth. Our growth findings are consistent with Figure</w:t>
      </w:r>
      <w:r>
        <w:t xml:space="preserve"> </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w:t>
      </w:r>
      <w:r>
        <w:t xml:space="preserve">(Figure</w:t>
      </w:r>
      <w:r>
        <w:t xml:space="preserve"> </w:t>
      </w:r>
      <w:r>
        <w:t xml:space="preserve">16</w:t>
      </w:r>
      <w:r>
        <w:t xml:space="preserve">). Thus, SS120 can exploit higher PAR environments, within OMZ. SS120 is likely excluded from the combination of higher [O</w:t>
      </w:r>
      <w:r>
        <w:rPr>
          <w:vertAlign w:val="subscript"/>
        </w:rPr>
        <w:t xml:space="preserve">2</w:t>
      </w:r>
      <w:r>
        <w:t xml:space="preserve">] and higher PAR by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[11]</w:t>
      </w:r>
      <w:r>
        <w:t xml:space="preserve"> </w:t>
      </w:r>
      <w:r>
        <w:t xml:space="preserve">who found evidence of LLII/III and LLIV ecotypes, using terminal restriction fragment length polymorphism analyses, at depths above 40 m, where light levels are higher, within OMZ, and by Figure</w:t>
      </w:r>
      <w:r>
        <w:t xml:space="preserve"> </w:t>
      </w:r>
      <w:r>
        <w:t xml:space="preserve">2</w:t>
      </w:r>
      <w:r>
        <w:t xml:space="preserve"> </w:t>
      </w:r>
      <w:r>
        <w:t xml:space="preserve">showing PSII protein subunits annotated as derived from SS120 at all depths ranging from 20 to 200 m and all [O</w:t>
      </w:r>
      <w:r>
        <w:rPr>
          <w:vertAlign w:val="subscript"/>
        </w:rPr>
        <w:t xml:space="preserve">2</w:t>
      </w:r>
      <w:r>
        <w:t xml:space="preserve">] in an OMZ of the tropical North Pacific Ocean. SS120 grew under photoperiods longer than 4 h and showed increasing growth rate with increasing photoperiods, and so has the potential to thrive in deep temperate zones, specifically during the spring, summer, and fall seasons when the duration of daylight exceeds 4 h, if [O</w:t>
      </w:r>
      <w:r>
        <w:rPr>
          <w:vertAlign w:val="subscript"/>
        </w:rPr>
        <w:t xml:space="preserve">2</w:t>
      </w:r>
      <w:r>
        <w:t xml:space="preserve">] are near surface saturation of about 250 µM. Under lower oxygen levels of 25 µM, SS120 can also potentially exploit a 4 h photoperiod in the blue waveband, and thus has the potential to inhabit a potential warmed, deep, temperate OMZ, during the winter season.</w:t>
      </w:r>
    </w:p>
    <w:p>
      <w:pPr>
        <w:pStyle w:val="BodyText"/>
      </w:pPr>
      <w:r>
        <w:rPr>
          <w:iCs/>
          <w:i/>
        </w:rPr>
        <w:t xml:space="preserve">Prochlorococcus marinus</w:t>
      </w:r>
      <w:r>
        <w:t xml:space="preserve"> </w:t>
      </w:r>
      <w:r>
        <w:t xml:space="preserve">MIT9313, a LLIV clade representative, shows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enabling MIT9313 to grow in OMZ, even at depths closer to the surface. MIT9313 carries a gene encoding (S)-2-hydroxy-acid oxidase</w:t>
      </w:r>
      <w:r>
        <w:t xml:space="preserve"> </w:t>
      </w:r>
      <w:r>
        <w:t xml:space="preserve">[74]</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in part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 Bagby and Chisholm</w:t>
      </w:r>
      <w:r>
        <w:t xml:space="preserve"> </w:t>
      </w:r>
      <w:r>
        <w:t xml:space="preserve">[80]</w:t>
      </w:r>
      <w:r>
        <w:t xml:space="preserve"> </w:t>
      </w:r>
      <w:r>
        <w:t xml:space="preserve">suggest that O</w:t>
      </w:r>
      <w:r>
        <w:rPr>
          <w:vertAlign w:val="subscript"/>
        </w:rPr>
        <w:t xml:space="preserve">2</w:t>
      </w:r>
      <w:r>
        <w:t xml:space="preserve"> </w:t>
      </w:r>
      <w:r>
        <w:t xml:space="preserve">has a protective role in</w:t>
      </w:r>
      <w:r>
        <w:t xml:space="preserve"> </w:t>
      </w:r>
      <w:r>
        <w:rPr>
          <w:iCs/>
          <w:i/>
        </w:rPr>
        <w:t xml:space="preserve">Prochlorococcus</w:t>
      </w:r>
      <w:r>
        <w:t xml:space="preserve"> </w:t>
      </w:r>
      <w:r>
        <w:t xml:space="preserve">under lower carbon dioxide environments when carbon fixation is limited. The deep water 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[81–83]</w:t>
      </w:r>
      <w:r>
        <w:t xml:space="preserve"> </w:t>
      </w:r>
      <w:r>
        <w:t xml:space="preserve">and amino acids</w:t>
      </w:r>
      <w:r>
        <w:t xml:space="preserve"> </w:t>
      </w:r>
      <w:r>
        <w:t xml:space="preserve">[84]</w:t>
      </w:r>
      <w:r>
        <w:t xml:space="preserve">. In future work we aim to test whether 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 sink for respiration, using ATP for maintenance and to take up nutrients from the surroundings. Partensky</w:t>
      </w:r>
      <w:r>
        <w:t xml:space="preserve"> </w:t>
      </w:r>
      <w:r>
        <w:rPr>
          <w:iCs/>
          <w:i/>
        </w:rPr>
        <w:t xml:space="preserve">et al</w:t>
      </w:r>
      <w:r>
        <w:t xml:space="preserve">.</w:t>
      </w:r>
      <w:r>
        <w:t xml:space="preserve"> </w:t>
      </w:r>
      <w:r>
        <w:t xml:space="preserve">[16]</w:t>
      </w:r>
      <w:r>
        <w:t xml:space="preserve"> </w:t>
      </w:r>
      <w:r>
        <w:t xml:space="preserve">indeed 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thus contributing to maintenance of the low O</w:t>
      </w:r>
      <w:r>
        <w:rPr>
          <w:vertAlign w:val="subscript"/>
        </w:rPr>
        <w:t xml:space="preserve">2</w:t>
      </w:r>
      <w:r>
        <w:t xml:space="preserve"> </w:t>
      </w:r>
      <w:r>
        <w:t xml:space="preserve">environment.</w:t>
      </w:r>
    </w:p>
    <w:bookmarkEnd w:id="76"/>
    <w:bookmarkStart w:id="92" w:name="supplemental"/>
    <w:p>
      <w:pPr>
        <w:pStyle w:val="Heading1"/>
      </w:pPr>
      <w:r>
        <w:t xml:space="preserve">Supplemental</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4245223"/>
            <wp:effectExtent b="0" l="0" r="0" t="0"/>
            <wp:docPr descr="Figure 15: Normalized absorbance and Photosynthetically Usable Radiation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052766"/>
            <wp:effectExtent b="0" l="0" r="0" t="0"/>
            <wp:docPr descr="Figure 16: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O</w:t>
      </w:r>
      <w:r>
        <w:rPr>
          <w:vertAlign w:val="subscript"/>
        </w:rPr>
        <w:t xml:space="preserve">2</w:t>
      </w:r>
      <w:r>
        <w:t xml:space="preserve"> </w:t>
      </w:r>
      <w:r>
        <w:t xml:space="preserve">experiment, for each strain,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O2 experiment, for each strain, with the corresponding photoperiod, PAR level and spectral waveban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bookmarkEnd w:id="92"/>
    <w:bookmarkStart w:id="95" w:name="data-availability"/>
    <w:p>
      <w:pPr>
        <w:pStyle w:val="Heading1"/>
      </w:pPr>
      <w:r>
        <w:t xml:space="preserve">Data availability</w:t>
      </w:r>
    </w:p>
    <w:p>
      <w:pPr>
        <w:pStyle w:val="FirstParagraph"/>
      </w:pPr>
      <w:r>
        <w:t xml:space="preserve">All data obtained from the Multicultivator were saved as comma separated 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 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Carlie Barnhill (Mount Allison Student) assisted with code for import of multicultivator growth data files.</w:t>
      </w:r>
      <w:r>
        <w:t xml:space="preserve"> </w:t>
      </w:r>
      <w:r>
        <w:t xml:space="preserve">Sarah Arthur &amp; Daytona McMackin (Mount Allison Students) assisted with culturing and setting up Multicultivator runs.</w:t>
      </w:r>
    </w:p>
    <w:bookmarkEnd w:id="96"/>
    <w:bookmarkStart w:id="97"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(OP) visiting fellowship supporting DAC work at AlgaTech</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2021 and 2022 (MS)</w:t>
      </w:r>
    </w:p>
    <w:p>
      <w:pPr>
        <w:pStyle w:val="BodyText"/>
      </w:pPr>
      <w:r>
        <w:t xml:space="preserve">XXX PLOS requires grant numbers XXX</w:t>
      </w:r>
    </w:p>
    <w:bookmarkEnd w:id="97"/>
    <w:bookmarkStart w:id="266" w:name="references"/>
    <w:p>
      <w:pPr>
        <w:pStyle w:val="Heading1"/>
      </w:pPr>
      <w:r>
        <w:t xml:space="preserve">References</w:t>
      </w:r>
    </w:p>
    <w:bookmarkStart w:id="265" w:name="refs"/>
    <w:bookmarkStart w:id="98" w:name="ref-saitoPeptidesTheirSpectral2018"/>
    <w:p>
      <w:pPr>
        <w:pStyle w:val="Bibliography"/>
      </w:pPr>
      <w:r>
        <w:t xml:space="preserve">1.</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98"/>
    <w:bookmarkStart w:id="100" w:name="Xd70befea164557b16ed93ff46130e2de22ec267"/>
    <w:p>
      <w:pPr>
        <w:pStyle w:val="Bibliography"/>
      </w:pPr>
      <w:r>
        <w:t xml:space="preserve">2.</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9">
        <w:r>
          <w:rPr>
            <w:rStyle w:val="Hyperlink"/>
          </w:rPr>
          <w:t xml:space="preserve">10.1007/BF00245165</w:t>
        </w:r>
      </w:hyperlink>
    </w:p>
    <w:bookmarkEnd w:id="100"/>
    <w:bookmarkStart w:id="102" w:name="X377042c084eff0ee0f053250151116e931fa65d"/>
    <w:p>
      <w:pPr>
        <w:pStyle w:val="Bibliography"/>
      </w:pPr>
      <w:r>
        <w:t xml:space="preserve">3.</w:t>
      </w:r>
      <w:r>
        <w:t xml:space="preserve"> </w:t>
      </w:r>
      <w:r>
        <w:t xml:space="preserve">	</w:t>
      </w:r>
      <w:r>
        <w:t xml:space="preserve">Partensky F, Hess WR, Vaulot D.</w:t>
      </w:r>
      <w:r>
        <w:t xml:space="preserve"> </w:t>
      </w:r>
      <w:hyperlink r:id="rId101">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2"/>
    <w:bookmarkStart w:id="104" w:name="ref-rocapGenomeDivergenceTwo2003"/>
    <w:p>
      <w:pPr>
        <w:pStyle w:val="Bibliography"/>
      </w:pPr>
      <w:r>
        <w:t xml:space="preserve">4.</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3">
        <w:r>
          <w:rPr>
            <w:rStyle w:val="Hyperlink"/>
          </w:rPr>
          <w:t xml:space="preserve">10.1038/nature01947</w:t>
        </w:r>
      </w:hyperlink>
    </w:p>
    <w:bookmarkEnd w:id="104"/>
    <w:bookmarkStart w:id="106" w:name="Xc4e2d75c65bebcbf4b52f8b15e48946a22f915b"/>
    <w:p>
      <w:pPr>
        <w:pStyle w:val="Bibliography"/>
      </w:pPr>
      <w:r>
        <w:t xml:space="preserve">5.</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5">
        <w:r>
          <w:rPr>
            <w:rStyle w:val="Hyperlink"/>
          </w:rPr>
          <w:t xml:space="preserve">10.1038/30965</w:t>
        </w:r>
      </w:hyperlink>
    </w:p>
    <w:bookmarkEnd w:id="106"/>
    <w:bookmarkStart w:id="108" w:name="Xcf13d766e1f407b175f777ab28a3678d85c9295"/>
    <w:p>
      <w:pPr>
        <w:pStyle w:val="Bibliography"/>
      </w:pPr>
      <w:r>
        <w:t xml:space="preserve">6.</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7">
        <w:r>
          <w:rPr>
            <w:rStyle w:val="Hyperlink"/>
          </w:rPr>
          <w:t xml:space="preserve">10.1038/nrmicro3378</w:t>
        </w:r>
      </w:hyperlink>
    </w:p>
    <w:bookmarkEnd w:id="108"/>
    <w:bookmarkStart w:id="110" w:name="X24cdfcfb92fb5bebb55ab7ebc88e9ecc983f539"/>
    <w:p>
      <w:pPr>
        <w:pStyle w:val="Bibliography"/>
      </w:pPr>
      <w:r>
        <w:t xml:space="preserve">7.</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9">
        <w:r>
          <w:rPr>
            <w:rStyle w:val="Hyperlink"/>
          </w:rPr>
          <w:t xml:space="preserve">10.3354/meps068121</w:t>
        </w:r>
      </w:hyperlink>
    </w:p>
    <w:bookmarkEnd w:id="110"/>
    <w:bookmarkStart w:id="112" w:name="X48eb1176443057d9b895505071b828fa88ec8e1"/>
    <w:p>
      <w:pPr>
        <w:pStyle w:val="Bibliography"/>
      </w:pPr>
      <w:r>
        <w:t xml:space="preserve">8.</w:t>
      </w:r>
      <w:r>
        <w:t xml:space="preserve"> </w:t>
      </w:r>
      <w:r>
        <w:t xml:space="preserve">	</w:t>
      </w:r>
      <w:r>
        <w:t xml:space="preserve">Chisholm SW, Olson RJ, Zettler ER, Goericke R, Waterbury JB, Welschmeyer NA. A novel free-living prochlorophyte abundant in the oceanic euphotic zone. Nature. 1988;334: 340–343. doi:</w:t>
      </w:r>
      <w:hyperlink r:id="rId111">
        <w:r>
          <w:rPr>
            <w:rStyle w:val="Hyperlink"/>
          </w:rPr>
          <w:t xml:space="preserve">10.1038/334340a0</w:t>
        </w:r>
      </w:hyperlink>
    </w:p>
    <w:bookmarkEnd w:id="112"/>
    <w:bookmarkStart w:id="114" w:name="Xc0bc4fe4a9172ce683bd38473d0504c9024f6e6"/>
    <w:p>
      <w:pPr>
        <w:pStyle w:val="Bibliography"/>
      </w:pPr>
      <w:r>
        <w:t xml:space="preserve">9.</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3">
        <w:r>
          <w:rPr>
            <w:rStyle w:val="Hyperlink"/>
          </w:rPr>
          <w:t xml:space="preserve">10.1146/annurev-marine-120308-081034</w:t>
        </w:r>
      </w:hyperlink>
    </w:p>
    <w:bookmarkEnd w:id="114"/>
    <w:bookmarkStart w:id="116" w:name="X68bb2c46db2072be018db830b91416af9a63192"/>
    <w:p>
      <w:pPr>
        <w:pStyle w:val="Bibliography"/>
      </w:pPr>
      <w:r>
        <w:t xml:space="preserve">10.</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5">
        <w:r>
          <w:rPr>
            <w:rStyle w:val="Hyperlink"/>
          </w:rPr>
          <w:t xml:space="preserve">10.1016/S0967-0637(99)00108-9</w:t>
        </w:r>
      </w:hyperlink>
    </w:p>
    <w:bookmarkEnd w:id="116"/>
    <w:bookmarkStart w:id="118" w:name="X7302381cb780d3a2848f641e311a7079e5b4afc"/>
    <w:p>
      <w:pPr>
        <w:pStyle w:val="Bibliography"/>
      </w:pPr>
      <w:r>
        <w:t xml:space="preserve">11.</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7">
        <w:r>
          <w:rPr>
            <w:rStyle w:val="Hyperlink"/>
          </w:rPr>
          <w:t xml:space="preserve">10.1111/j.1758-2229.2010.00167.x</w:t>
        </w:r>
      </w:hyperlink>
    </w:p>
    <w:bookmarkEnd w:id="118"/>
    <w:bookmarkStart w:id="120" w:name="X74c65f1be0441395ba4f449ec413c17df482038"/>
    <w:p>
      <w:pPr>
        <w:pStyle w:val="Bibliography"/>
      </w:pPr>
      <w:r>
        <w:t xml:space="preserve">12.</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9">
        <w:r>
          <w:rPr>
            <w:rStyle w:val="Hyperlink"/>
          </w:rPr>
          <w:t xml:space="preserve">10.1073/pnas.2025638118</w:t>
        </w:r>
      </w:hyperlink>
    </w:p>
    <w:bookmarkEnd w:id="120"/>
    <w:bookmarkStart w:id="122" w:name="X283048861dad88520b99e3d0c93432f7f8dc4c2"/>
    <w:p>
      <w:pPr>
        <w:pStyle w:val="Bibliography"/>
      </w:pPr>
      <w:r>
        <w:t xml:space="preserve">13.</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1">
        <w:r>
          <w:rPr>
            <w:rStyle w:val="Hyperlink"/>
          </w:rPr>
          <w:t xml:space="preserve">10.1073/pnas.1619844114</w:t>
        </w:r>
      </w:hyperlink>
    </w:p>
    <w:bookmarkEnd w:id="122"/>
    <w:bookmarkStart w:id="124" w:name="ref-holtropVibrationalModesWater2021"/>
    <w:p>
      <w:pPr>
        <w:pStyle w:val="Bibliography"/>
      </w:pPr>
      <w:r>
        <w:t xml:space="preserve">14.</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3">
        <w:r>
          <w:rPr>
            <w:rStyle w:val="Hyperlink"/>
          </w:rPr>
          <w:t xml:space="preserve">10.1038/s41559-020-01330-x</w:t>
        </w:r>
      </w:hyperlink>
    </w:p>
    <w:bookmarkEnd w:id="124"/>
    <w:bookmarkStart w:id="126" w:name="ref-johnsonEnergeticsGrowthKinetics1999"/>
    <w:p>
      <w:pPr>
        <w:pStyle w:val="Bibliography"/>
      </w:pPr>
      <w:r>
        <w:t xml:space="preserve">15.</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5">
        <w:r>
          <w:rPr>
            <w:rStyle w:val="Hyperlink"/>
          </w:rPr>
          <w:t xml:space="preserve">10.1016/S0967-0645(99)00041-7</w:t>
        </w:r>
      </w:hyperlink>
    </w:p>
    <w:bookmarkEnd w:id="126"/>
    <w:bookmarkStart w:id="128" w:name="X1bc2c1e7655344012c104d7e7445ec4c6ca1702"/>
    <w:p>
      <w:pPr>
        <w:pStyle w:val="Bibliography"/>
      </w:pPr>
      <w:r>
        <w:t xml:space="preserve">16.</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7">
        <w:r>
          <w:rPr>
            <w:rStyle w:val="Hyperlink"/>
          </w:rPr>
          <w:t xml:space="preserve">10.1007/s11120-018-0539-3</w:t>
        </w:r>
      </w:hyperlink>
    </w:p>
    <w:bookmarkEnd w:id="128"/>
    <w:bookmarkStart w:id="130"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9">
        <w:r>
          <w:rPr>
            <w:rStyle w:val="Hyperlink"/>
          </w:rPr>
          <w:t xml:space="preserve">10.1126/science.1118052</w:t>
        </w:r>
      </w:hyperlink>
    </w:p>
    <w:bookmarkEnd w:id="130"/>
    <w:bookmarkStart w:id="132"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1">
        <w:r>
          <w:rPr>
            <w:rStyle w:val="Hyperlink"/>
          </w:rPr>
          <w:t xml:space="preserve">10.4319/lo.2007.52.5.2205</w:t>
        </w:r>
      </w:hyperlink>
    </w:p>
    <w:bookmarkEnd w:id="132"/>
    <w:bookmarkStart w:id="134" w:name="X4fa0a8ecef50275f4b91d11aea3d3d13b5cac9f"/>
    <w:p>
      <w:pPr>
        <w:pStyle w:val="Bibliography"/>
      </w:pPr>
      <w:r>
        <w:t xml:space="preserve">19.</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3">
        <w:r>
          <w:rPr>
            <w:rStyle w:val="Hyperlink"/>
          </w:rPr>
          <w:t xml:space="preserve">10.1038/s41396-018-0287-6</w:t>
        </w:r>
      </w:hyperlink>
    </w:p>
    <w:bookmarkEnd w:id="134"/>
    <w:bookmarkStart w:id="136" w:name="X7033f679f221510530beb7d651006959f7069f5"/>
    <w:p>
      <w:pPr>
        <w:pStyle w:val="Bibliography"/>
      </w:pPr>
      <w:r>
        <w:t xml:space="preserve">20.</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5">
        <w:r>
          <w:rPr>
            <w:rStyle w:val="Hyperlink"/>
          </w:rPr>
          <w:t xml:space="preserve">10.1128/AEM.65.6.2585-2591.1999</w:t>
        </w:r>
      </w:hyperlink>
    </w:p>
    <w:bookmarkEnd w:id="136"/>
    <w:bookmarkStart w:id="138" w:name="Xa4a36f8b6bb965fb5918261eafa8db8001b3ef2"/>
    <w:p>
      <w:pPr>
        <w:pStyle w:val="Bibliography"/>
      </w:pPr>
      <w:r>
        <w:t xml:space="preserve">21.</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7">
        <w:r>
          <w:rPr>
            <w:rStyle w:val="Hyperlink"/>
          </w:rPr>
          <w:t xml:space="preserve">10.7717/peerj.4320</w:t>
        </w:r>
      </w:hyperlink>
    </w:p>
    <w:bookmarkEnd w:id="138"/>
    <w:bookmarkStart w:id="140" w:name="ref-flombaumPresentFutureGlobal2013"/>
    <w:p>
      <w:pPr>
        <w:pStyle w:val="Bibliography"/>
      </w:pPr>
      <w:r>
        <w:t xml:space="preserve">22.</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9">
        <w:r>
          <w:rPr>
            <w:rStyle w:val="Hyperlink"/>
          </w:rPr>
          <w:t xml:space="preserve">10.1073/pnas.1307701110</w:t>
        </w:r>
      </w:hyperlink>
    </w:p>
    <w:bookmarkEnd w:id="140"/>
    <w:bookmarkStart w:id="142" w:name="ref-bartonAnthropogenicClimateChange2016"/>
    <w:p>
      <w:pPr>
        <w:pStyle w:val="Bibliography"/>
      </w:pPr>
      <w:r>
        <w:t xml:space="preserve">23.</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1">
        <w:r>
          <w:rPr>
            <w:rStyle w:val="Hyperlink"/>
          </w:rPr>
          <w:t xml:space="preserve">10.1073/pnas.1519080113</w:t>
        </w:r>
      </w:hyperlink>
    </w:p>
    <w:bookmarkEnd w:id="142"/>
    <w:bookmarkStart w:id="144" w:name="ref-liDiatomGrowthResponses2017"/>
    <w:p>
      <w:pPr>
        <w:pStyle w:val="Bibliography"/>
      </w:pPr>
      <w:r>
        <w:t xml:space="preserve">24.</w:t>
      </w:r>
      <w:r>
        <w:t xml:space="preserve"> </w:t>
      </w:r>
      <w:r>
        <w:t xml:space="preserve">	</w:t>
      </w:r>
      <w:r>
        <w:t xml:space="preserve">Li G, Talmy D, Campbell DA. Diatom growth responses to photoperiod and light are predictable from diel reductant generation. Journal of Phycology. 2017;53: 95–107. doi:</w:t>
      </w:r>
      <w:hyperlink r:id="rId143">
        <w:r>
          <w:rPr>
            <w:rStyle w:val="Hyperlink"/>
          </w:rPr>
          <w:t xml:space="preserve">10.1111/jpy.12483</w:t>
        </w:r>
      </w:hyperlink>
    </w:p>
    <w:bookmarkEnd w:id="144"/>
    <w:bookmarkStart w:id="146" w:name="Xcb9dbf8e5bf01c0bf330d97e34b3fb3aaae97e1"/>
    <w:p>
      <w:pPr>
        <w:pStyle w:val="Bibliography"/>
      </w:pPr>
      <w:r>
        <w:t xml:space="preserve">25.</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5">
        <w:r>
          <w:rPr>
            <w:rStyle w:val="Hyperlink"/>
          </w:rPr>
          <w:t xml:space="preserve">10.1007/978-94-011-2805-6_1</w:t>
        </w:r>
      </w:hyperlink>
    </w:p>
    <w:bookmarkEnd w:id="146"/>
    <w:bookmarkStart w:id="148" w:name="X00d851b8500e38655e34a97a39127d1163e9798"/>
    <w:p>
      <w:pPr>
        <w:pStyle w:val="Bibliography"/>
      </w:pPr>
      <w:r>
        <w:t xml:space="preserve">26.</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7">
        <w:r>
          <w:rPr>
            <w:rStyle w:val="Hyperlink"/>
          </w:rPr>
          <w:t xml:space="preserve">10.1126/science.268.5216.1480</w:t>
        </w:r>
      </w:hyperlink>
    </w:p>
    <w:bookmarkEnd w:id="148"/>
    <w:bookmarkStart w:id="150" w:name="ref-garcia-sotoOverviewOceanClimate2021"/>
    <w:p>
      <w:pPr>
        <w:pStyle w:val="Bibliography"/>
      </w:pPr>
      <w:r>
        <w:t xml:space="preserve">27.</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9">
        <w:r>
          <w:rPr>
            <w:rStyle w:val="Hyperlink"/>
          </w:rPr>
          <w:t xml:space="preserve">10.3389/fmars.2021.642372</w:t>
        </w:r>
      </w:hyperlink>
    </w:p>
    <w:bookmarkEnd w:id="150"/>
    <w:bookmarkStart w:id="152" w:name="ref-leeRecognizingSalinityThreats2022"/>
    <w:p>
      <w:pPr>
        <w:pStyle w:val="Bibliography"/>
      </w:pPr>
      <w:r>
        <w:t xml:space="preserve">28.</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1">
        <w:r>
          <w:rPr>
            <w:rStyle w:val="Hyperlink"/>
          </w:rPr>
          <w:t xml:space="preserve">10.1093/icb/icac069</w:t>
        </w:r>
      </w:hyperlink>
    </w:p>
    <w:bookmarkEnd w:id="152"/>
    <w:bookmarkStart w:id="154" w:name="ref-matearLongtermChangesDissolved2003"/>
    <w:p>
      <w:pPr>
        <w:pStyle w:val="Bibliography"/>
      </w:pPr>
      <w:r>
        <w:t xml:space="preserve">29.</w:t>
      </w:r>
      <w:r>
        <w:t xml:space="preserve"> </w:t>
      </w:r>
      <w:r>
        <w:t xml:space="preserve">	</w:t>
      </w:r>
      <w:r>
        <w:t xml:space="preserve">Matear RJ, Hirst AC. Long-term changes in dissolved oxygen concentrations in the ocean caused by protracted global warming. Global Biogeochemical Cycles. 2003;17. doi:</w:t>
      </w:r>
      <w:hyperlink r:id="rId153">
        <w:r>
          <w:rPr>
            <w:rStyle w:val="Hyperlink"/>
          </w:rPr>
          <w:t xml:space="preserve">10.1029/2002GB001997</w:t>
        </w:r>
      </w:hyperlink>
    </w:p>
    <w:bookmarkEnd w:id="154"/>
    <w:bookmarkStart w:id="156" w:name="ref-helmObservedDecreasesOxygen2011"/>
    <w:p>
      <w:pPr>
        <w:pStyle w:val="Bibliography"/>
      </w:pPr>
      <w:r>
        <w:t xml:space="preserve">30.</w:t>
      </w:r>
      <w:r>
        <w:t xml:space="preserve"> </w:t>
      </w:r>
      <w:r>
        <w:t xml:space="preserve">	</w:t>
      </w:r>
      <w:r>
        <w:t xml:space="preserve">Helm KP, Bindoff NL, Church JA. Observed decreases in oxygen content of the global ocean. Geophysical Research Letters. 2011;38. doi:</w:t>
      </w:r>
      <w:hyperlink r:id="rId155">
        <w:r>
          <w:rPr>
            <w:rStyle w:val="Hyperlink"/>
          </w:rPr>
          <w:t xml:space="preserve">10.1029/2011GL049513</w:t>
        </w:r>
      </w:hyperlink>
    </w:p>
    <w:bookmarkEnd w:id="156"/>
    <w:bookmarkStart w:id="158" w:name="ref-buseckeDivergingFatesPacific2022"/>
    <w:p>
      <w:pPr>
        <w:pStyle w:val="Bibliography"/>
      </w:pPr>
      <w:r>
        <w:t xml:space="preserve">31.</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7">
        <w:r>
          <w:rPr>
            <w:rStyle w:val="Hyperlink"/>
          </w:rPr>
          <w:t xml:space="preserve">10.1029/2021AV000470</w:t>
        </w:r>
      </w:hyperlink>
    </w:p>
    <w:bookmarkEnd w:id="158"/>
    <w:bookmarkStart w:id="160" w:name="ref-saitoDevelopmentOceanProtein2021"/>
    <w:p>
      <w:pPr>
        <w:pStyle w:val="Bibliography"/>
      </w:pPr>
      <w:r>
        <w:t xml:space="preserve">32.</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9">
        <w:r>
          <w:rPr>
            <w:rStyle w:val="Hyperlink"/>
          </w:rPr>
          <w:t xml:space="preserve">10.1021/acs.jproteome.0c00382</w:t>
        </w:r>
      </w:hyperlink>
    </w:p>
    <w:bookmarkEnd w:id="160"/>
    <w:bookmarkStart w:id="162" w:name="Xe6f5d40bcc487a396500639489a5b6f18ea04cd"/>
    <w:p>
      <w:pPr>
        <w:pStyle w:val="Bibliography"/>
      </w:pPr>
      <w:r>
        <w:t xml:space="preserve">33.</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1">
        <w:r>
          <w:rPr>
            <w:rStyle w:val="Hyperlink"/>
          </w:rPr>
          <w:t xml:space="preserve">10.4319/lo.1999.44.3.0628</w:t>
        </w:r>
      </w:hyperlink>
    </w:p>
    <w:bookmarkEnd w:id="162"/>
    <w:bookmarkStart w:id="164" w:name="X64facdb3131bfe239e673dfba830f57a4a4857b"/>
    <w:p>
      <w:pPr>
        <w:pStyle w:val="Bibliography"/>
      </w:pPr>
      <w:r>
        <w:t xml:space="preserve">34.</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3">
        <w:r>
          <w:rPr>
            <w:rStyle w:val="Hyperlink"/>
          </w:rPr>
          <w:t xml:space="preserve">10.1029/2020GB006824</w:t>
        </w:r>
      </w:hyperlink>
    </w:p>
    <w:bookmarkEnd w:id="164"/>
    <w:bookmarkStart w:id="166" w:name="ref-morelAvailableUsableStored1978"/>
    <w:p>
      <w:pPr>
        <w:pStyle w:val="Bibliography"/>
      </w:pPr>
      <w:r>
        <w:t xml:space="preserve">35.</w:t>
      </w:r>
      <w:r>
        <w:t xml:space="preserve"> </w:t>
      </w:r>
      <w:r>
        <w:t xml:space="preserve">	</w:t>
      </w:r>
      <w:r>
        <w:t xml:space="preserve">Morel A. Available, usable, and stored radiant energy in relation to marine photosynthesis. Deep Sea Research. 1978;25: 673–688. doi:</w:t>
      </w:r>
      <w:hyperlink r:id="rId165">
        <w:r>
          <w:rPr>
            <w:rStyle w:val="Hyperlink"/>
          </w:rPr>
          <w:t xml:space="preserve">10.1016/0146-6291(78)90623-9</w:t>
        </w:r>
      </w:hyperlink>
    </w:p>
    <w:bookmarkEnd w:id="166"/>
    <w:bookmarkStart w:id="168" w:name="Xf3b5ffa943ca15d42e278d497844a3ebc24e4a5"/>
    <w:p>
      <w:pPr>
        <w:pStyle w:val="Bibliography"/>
      </w:pPr>
      <w:r>
        <w:t xml:space="preserve">36.</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7">
        <w:r>
          <w:rPr>
            <w:rStyle w:val="Hyperlink"/>
          </w:rPr>
          <w:t xml:space="preserve">10.4319/lo.1992.37.2.0425</w:t>
        </w:r>
      </w:hyperlink>
    </w:p>
    <w:bookmarkEnd w:id="168"/>
    <w:bookmarkStart w:id="170" w:name="X93cb5451bbdab5f94f30c9d7a9e31286750fa8a"/>
    <w:p>
      <w:pPr>
        <w:pStyle w:val="Bibliography"/>
      </w:pPr>
      <w:r>
        <w:t xml:space="preserve">37.</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9">
        <w:r>
          <w:rPr>
            <w:rStyle w:val="Hyperlink"/>
          </w:rPr>
          <w:t xml:space="preserve">10.1357/0022240933223963</w:t>
        </w:r>
      </w:hyperlink>
    </w:p>
    <w:bookmarkEnd w:id="170"/>
    <w:bookmarkStart w:id="172" w:name="Xa6a179492b6277a6b631be9c06b11085ac5bafc"/>
    <w:p>
      <w:pPr>
        <w:pStyle w:val="Bibliography"/>
      </w:pPr>
      <w:r>
        <w:t xml:space="preserve">38.</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1">
        <w:r>
          <w:rPr>
            <w:rStyle w:val="Hyperlink"/>
          </w:rPr>
          <w:t xml:space="preserve">10.1023/A:1013835924610</w:t>
        </w:r>
      </w:hyperlink>
    </w:p>
    <w:bookmarkEnd w:id="172"/>
    <w:bookmarkStart w:id="174" w:name="ref-changBRENDAELIXIRCore2021"/>
    <w:p>
      <w:pPr>
        <w:pStyle w:val="Bibliography"/>
      </w:pPr>
      <w:r>
        <w:t xml:space="preserve">39.</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3">
        <w:r>
          <w:rPr>
            <w:rStyle w:val="Hyperlink"/>
          </w:rPr>
          <w:t xml:space="preserve">10.1093/nar/gkaa1025</w:t>
        </w:r>
      </w:hyperlink>
    </w:p>
    <w:bookmarkEnd w:id="174"/>
    <w:bookmarkStart w:id="176" w:name="X215a44d9628ce81fa04c68846a33c10c348250a"/>
    <w:p>
      <w:pPr>
        <w:pStyle w:val="Bibliography"/>
      </w:pPr>
      <w:r>
        <w:t xml:space="preserve">40.</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5">
        <w:r>
          <w:rPr>
            <w:rStyle w:val="Hyperlink"/>
          </w:rPr>
          <w:t xml:space="preserve">10.7284/903696</w:t>
        </w:r>
      </w:hyperlink>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e1a35b51f3a57f438093c1d90ebc14e93e2f13b"/>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adamFtsHProteasesChloroplasts2005"/>
    <w:p>
      <w:pPr>
        <w:pStyle w:val="Bibliography"/>
      </w:pPr>
      <w:r>
        <w:t xml:space="preserve">66.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7">
        <w:r>
          <w:rPr>
            <w:rStyle w:val="Hyperlink"/>
          </w:rPr>
          <w:t xml:space="preserve">10.1111/j.1399-3054.2004.00436.x</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sacharzSubCellularLocation2015"/>
    <w:p>
      <w:pPr>
        <w:pStyle w:val="Bibliography"/>
      </w:pPr>
      <w:r>
        <w:t xml:space="preserve">69.</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3">
        <w:r>
          <w:rPr>
            <w:rStyle w:val="Hyperlink"/>
          </w:rPr>
          <w:t xml:space="preserve">10.1111/mmi.12940</w:t>
        </w:r>
      </w:hyperlink>
    </w:p>
    <w:bookmarkEnd w:id="234"/>
    <w:bookmarkStart w:id="236" w:name="ref-zakInitialStepsBiogenesis2001"/>
    <w:p>
      <w:pPr>
        <w:pStyle w:val="Bibliography"/>
      </w:pPr>
      <w:r>
        <w:t xml:space="preserve">70.</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5">
        <w:r>
          <w:rPr>
            <w:rStyle w:val="Hyperlink"/>
          </w:rPr>
          <w:t xml:space="preserve">10.1073/pnas.241503898</w:t>
        </w:r>
      </w:hyperlink>
    </w:p>
    <w:bookmarkEnd w:id="236"/>
    <w:bookmarkStart w:id="238" w:name="Xc6730c445a7c8c3844c6ab1bb8ce6b143f1ee34"/>
    <w:p>
      <w:pPr>
        <w:pStyle w:val="Bibliography"/>
      </w:pPr>
      <w:r>
        <w:t xml:space="preserve">71.</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7">
        <w:r>
          <w:rPr>
            <w:rStyle w:val="Hyperlink"/>
          </w:rPr>
          <w:t xml:space="preserve">10.1105/tpc.112.100891</w:t>
        </w:r>
      </w:hyperlink>
    </w:p>
    <w:bookmarkEnd w:id="238"/>
    <w:bookmarkStart w:id="240" w:name="ref-komendaExposedNTerminalTail2007"/>
    <w:p>
      <w:pPr>
        <w:pStyle w:val="Bibliography"/>
      </w:pPr>
      <w:r>
        <w:t xml:space="preserve">72.</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39">
        <w:r>
          <w:rPr>
            <w:rStyle w:val="Hyperlink"/>
          </w:rPr>
          <w:t xml:space="preserve">10.1105/tpc.107.053868</w:t>
        </w:r>
      </w:hyperlink>
    </w:p>
    <w:bookmarkEnd w:id="240"/>
    <w:bookmarkStart w:id="242" w:name="ref-bergResponsesPsbAHli2011"/>
    <w:p>
      <w:pPr>
        <w:pStyle w:val="Bibliography"/>
      </w:pPr>
      <w:r>
        <w:t xml:space="preserve">73.</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1">
        <w:r>
          <w:rPr>
            <w:rStyle w:val="Hyperlink"/>
          </w:rPr>
          <w:t xml:space="preserve">10.3354/ame01528</w:t>
        </w:r>
      </w:hyperlink>
    </w:p>
    <w:bookmarkEnd w:id="242"/>
    <w:bookmarkStart w:id="244" w:name="ref-cunaneCrystalStructureAnalysis2005"/>
    <w:p>
      <w:pPr>
        <w:pStyle w:val="Bibliography"/>
      </w:pPr>
      <w:r>
        <w:t xml:space="preserve">74.</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3">
        <w:r>
          <w:rPr>
            <w:rStyle w:val="Hyperlink"/>
          </w:rPr>
          <w:t xml:space="preserve">10.1021/bi048616e</w:t>
        </w:r>
      </w:hyperlink>
    </w:p>
    <w:bookmarkEnd w:id="244"/>
    <w:bookmarkStart w:id="246" w:name="Xe0df7677eb0e83af58d9a079cec8291a31d5c04"/>
    <w:p>
      <w:pPr>
        <w:pStyle w:val="Bibliography"/>
      </w:pPr>
      <w:r>
        <w:t xml:space="preserve">75.</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5">
        <w:r>
          <w:rPr>
            <w:rStyle w:val="Hyperlink"/>
          </w:rPr>
          <w:t xml:space="preserve">10.1016/j.febslet.2006.12.028</w:t>
        </w:r>
      </w:hyperlink>
    </w:p>
    <w:bookmarkEnd w:id="246"/>
    <w:bookmarkStart w:id="248" w:name="ref-bilskiVitaminB6Pyridoxine2000"/>
    <w:p>
      <w:pPr>
        <w:pStyle w:val="Bibliography"/>
      </w:pPr>
      <w:r>
        <w:t xml:space="preserve">76.</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47">
        <w:r>
          <w:rPr>
            <w:rStyle w:val="Hyperlink"/>
          </w:rPr>
          <w:t xml:space="preserve">10.1562/0031-8655(2000)0710129SIPVBP2.0.CO2</w:t>
        </w:r>
      </w:hyperlink>
    </w:p>
    <w:bookmarkEnd w:id="248"/>
    <w:bookmarkStart w:id="250" w:name="ref-sancarStructureFunctionDNA2003"/>
    <w:p>
      <w:pPr>
        <w:pStyle w:val="Bibliography"/>
      </w:pPr>
      <w:r>
        <w:t xml:space="preserve">77.</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9">
        <w:r>
          <w:rPr>
            <w:rStyle w:val="Hyperlink"/>
          </w:rPr>
          <w:t xml:space="preserve">10.1021/cr0204348</w:t>
        </w:r>
      </w:hyperlink>
    </w:p>
    <w:bookmarkEnd w:id="250"/>
    <w:bookmarkStart w:id="252" w:name="Xbcf9c99ba8d9f86c9622ce71e03cde3e150c958"/>
    <w:p>
      <w:pPr>
        <w:pStyle w:val="Bibliography"/>
      </w:pPr>
      <w:r>
        <w:t xml:space="preserve">78.</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1">
        <w:r>
          <w:rPr>
            <w:rStyle w:val="Hyperlink"/>
          </w:rPr>
          <w:t xml:space="preserve">10.1038/ismej.2010.60</w:t>
        </w:r>
      </w:hyperlink>
    </w:p>
    <w:bookmarkEnd w:id="252"/>
    <w:bookmarkStart w:id="254" w:name="X99b6b48d829ff4037b291ba9a211586f807c4eb"/>
    <w:p>
      <w:pPr>
        <w:pStyle w:val="Bibliography"/>
      </w:pPr>
      <w:r>
        <w:t xml:space="preserve">79.</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3">
        <w:r>
          <w:rPr>
            <w:rStyle w:val="Hyperlink"/>
          </w:rPr>
          <w:t xml:space="preserve">10.3390/microorganisms10040821</w:t>
        </w:r>
      </w:hyperlink>
    </w:p>
    <w:bookmarkEnd w:id="254"/>
    <w:bookmarkStart w:id="256" w:name="X7a61e8301ea1be8b48319bac4cc8736ca470acf"/>
    <w:p>
      <w:pPr>
        <w:pStyle w:val="Bibliography"/>
      </w:pPr>
      <w:r>
        <w:t xml:space="preserve">80.</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5">
        <w:r>
          <w:rPr>
            <w:rStyle w:val="Hyperlink"/>
          </w:rPr>
          <w:t xml:space="preserve">10.1038/ismej.2015.36</w:t>
        </w:r>
      </w:hyperlink>
    </w:p>
    <w:bookmarkEnd w:id="256"/>
    <w:bookmarkStart w:id="258" w:name="ref-gomez-baenaGlucoseUptakeIts2008"/>
    <w:p>
      <w:pPr>
        <w:pStyle w:val="Bibliography"/>
      </w:pPr>
      <w:r>
        <w:t xml:space="preserve">81.</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57">
        <w:r>
          <w:rPr>
            <w:rStyle w:val="Hyperlink"/>
          </w:rPr>
          <w:t xml:space="preserve">10.1371/journal.pone.0003416</w:t>
        </w:r>
      </w:hyperlink>
    </w:p>
    <w:bookmarkEnd w:id="258"/>
    <w:bookmarkStart w:id="260" w:name="X9572c221e94a3d5fdec6df75457b5a8b9bceb0b"/>
    <w:p>
      <w:pPr>
        <w:pStyle w:val="Bibliography"/>
      </w:pPr>
      <w:r>
        <w:t xml:space="preserve">82.</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9">
        <w:r>
          <w:rPr>
            <w:rStyle w:val="Hyperlink"/>
          </w:rPr>
          <w:t xml:space="preserve">10.3389/fmicb.2017.00327</w:t>
        </w:r>
      </w:hyperlink>
    </w:p>
    <w:bookmarkEnd w:id="260"/>
    <w:bookmarkStart w:id="262" w:name="ref-munoz-marinProchlorococcusCanUse2013"/>
    <w:p>
      <w:pPr>
        <w:pStyle w:val="Bibliography"/>
      </w:pPr>
      <w:r>
        <w:t xml:space="preserve">83.</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1">
        <w:r>
          <w:rPr>
            <w:rStyle w:val="Hyperlink"/>
          </w:rPr>
          <w:t xml:space="preserve">10.1073/pnas.1221775110</w:t>
        </w:r>
      </w:hyperlink>
    </w:p>
    <w:bookmarkEnd w:id="262"/>
    <w:bookmarkStart w:id="264" w:name="ref-zubkovDepthRelatedAmino2004"/>
    <w:p>
      <w:pPr>
        <w:pStyle w:val="Bibliography"/>
      </w:pPr>
      <w:r>
        <w:t xml:space="preserve">84.</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3">
        <w:r>
          <w:rPr>
            <w:rStyle w:val="Hyperlink"/>
          </w:rPr>
          <w:t xml:space="preserve">10.1016/j.femsec.2004.06.009</w:t>
        </w:r>
      </w:hyperlink>
    </w:p>
    <w:bookmarkEnd w:id="264"/>
    <w:bookmarkEnd w:id="265"/>
    <w:bookmarkEnd w:id="266"/>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2" Target="media/rId42.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51" Target="media/rId51.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5" Target="https://doi.org/10.1016/j.febslet.2006.12.028" TargetMode="External" /><Relationship Type="http://schemas.openxmlformats.org/officeDocument/2006/relationships/hyperlink" Id="rId263"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3" Target="https://doi.org/10.1021/bi048616e" TargetMode="External" /><Relationship Type="http://schemas.openxmlformats.org/officeDocument/2006/relationships/hyperlink" Id="rId249"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1" Target="https://doi.org/10.1038/ismej.2010.60" TargetMode="External" /><Relationship Type="http://schemas.openxmlformats.org/officeDocument/2006/relationships/hyperlink" Id="rId255"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1"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35" Target="https://doi.org/10.1073/pnas.24150389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39" Target="https://doi.org/10.1105/tpc.107.053868" TargetMode="External" /><Relationship Type="http://schemas.openxmlformats.org/officeDocument/2006/relationships/hyperlink" Id="rId237" Target="https://doi.org/10.1105/tpc.112.100891" TargetMode="External" /><Relationship Type="http://schemas.openxmlformats.org/officeDocument/2006/relationships/hyperlink" Id="rId227"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3"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57"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47" Target="https://doi.org/10.1562/0031-8655(2000)0710129SIPVBP2.0.CO2" TargetMode="External" /><Relationship Type="http://schemas.openxmlformats.org/officeDocument/2006/relationships/hyperlink" Id="rId241"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59"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3"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5" Target="https://doi.org/10.1016/j.febslet.2006.12.028" TargetMode="External" /><Relationship Type="http://schemas.openxmlformats.org/officeDocument/2006/relationships/hyperlink" Id="rId263"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3" Target="https://doi.org/10.1021/bi048616e" TargetMode="External" /><Relationship Type="http://schemas.openxmlformats.org/officeDocument/2006/relationships/hyperlink" Id="rId249"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1" Target="https://doi.org/10.1038/ismej.2010.60" TargetMode="External" /><Relationship Type="http://schemas.openxmlformats.org/officeDocument/2006/relationships/hyperlink" Id="rId255"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1"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35" Target="https://doi.org/10.1073/pnas.24150389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39" Target="https://doi.org/10.1105/tpc.107.053868" TargetMode="External" /><Relationship Type="http://schemas.openxmlformats.org/officeDocument/2006/relationships/hyperlink" Id="rId237" Target="https://doi.org/10.1105/tpc.112.100891" TargetMode="External" /><Relationship Type="http://schemas.openxmlformats.org/officeDocument/2006/relationships/hyperlink" Id="rId227"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3"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57"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47" Target="https://doi.org/10.1562/0031-8655(2000)0710129SIPVBP2.0.CO2" TargetMode="External" /><Relationship Type="http://schemas.openxmlformats.org/officeDocument/2006/relationships/hyperlink" Id="rId241"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59"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3"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2024-03-08T13:36:27Z</dcterms:created>
  <dcterms:modified xsi:type="dcterms:W3CDTF">2024-03-08T13:36:27Z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2024-03-08</vt:lpwstr>
  </property>
  <property fmtid="{D5CDD505-2E9C-101B-9397-08002B2CF9AE}" pid="7" name="editor_options">
    <vt:lpwstr/>
  </property>
  <property fmtid="{D5CDD505-2E9C-101B-9397-08002B2CF9AE}" pid="8" name="output">
    <vt:lpwstr/>
  </property>
</Properties>
</file>